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2C93" w:rsidRPr="00AE2C93" w:rsidRDefault="00AE2C93" w:rsidP="00AE2C93">
      <w:pPr>
        <w:pStyle w:val="NoSpacing"/>
        <w:jc w:val="right"/>
        <w:rPr>
          <w:rFonts w:asciiTheme="majorHAnsi" w:hAnsiTheme="majorHAnsi"/>
          <w:b/>
          <w:sz w:val="24"/>
          <w:szCs w:val="24"/>
        </w:rPr>
      </w:pPr>
      <w:r>
        <w:rPr>
          <w:rFonts w:asciiTheme="majorHAnsi" w:hAnsiTheme="majorHAnsi"/>
          <w:b/>
          <w:sz w:val="24"/>
          <w:szCs w:val="24"/>
        </w:rPr>
        <w:t>Reading 3</w:t>
      </w:r>
    </w:p>
    <w:p w:rsidR="00AE2C93" w:rsidRDefault="00AE2C93" w:rsidP="00AE2C93">
      <w:pPr>
        <w:pStyle w:val="NoSpacing"/>
        <w:jc w:val="center"/>
        <w:rPr>
          <w:rFonts w:asciiTheme="majorHAnsi" w:hAnsiTheme="majorHAnsi"/>
          <w:b/>
          <w:sz w:val="36"/>
          <w:szCs w:val="36"/>
        </w:rPr>
      </w:pPr>
    </w:p>
    <w:p w:rsidR="00AE2C93" w:rsidRPr="004C197C" w:rsidRDefault="00AE2C93" w:rsidP="00AE2C93">
      <w:pPr>
        <w:pStyle w:val="NoSpacing"/>
        <w:jc w:val="center"/>
        <w:rPr>
          <w:rFonts w:asciiTheme="majorHAnsi" w:hAnsiTheme="majorHAnsi"/>
          <w:b/>
          <w:sz w:val="36"/>
          <w:szCs w:val="36"/>
        </w:rPr>
      </w:pPr>
      <w:r w:rsidRPr="004C197C">
        <w:rPr>
          <w:rFonts w:asciiTheme="majorHAnsi" w:hAnsiTheme="majorHAnsi"/>
          <w:b/>
          <w:sz w:val="36"/>
          <w:szCs w:val="36"/>
        </w:rPr>
        <w:t>Prohibition Enforcement</w:t>
      </w:r>
    </w:p>
    <w:p w:rsidR="00AE2C93" w:rsidRDefault="00AE2C93" w:rsidP="00AE2C93">
      <w:pPr>
        <w:pStyle w:val="NoSpacing"/>
        <w:spacing w:line="276" w:lineRule="auto"/>
        <w:ind w:firstLine="720"/>
        <w:rPr>
          <w:rFonts w:asciiTheme="majorHAnsi" w:hAnsiTheme="majorHAnsi"/>
          <w:sz w:val="24"/>
          <w:szCs w:val="24"/>
        </w:rPr>
      </w:pPr>
    </w:p>
    <w:p w:rsidR="00AE2C93" w:rsidRDefault="00AE2C93" w:rsidP="00AE2C93">
      <w:pPr>
        <w:pStyle w:val="NoSpacing"/>
        <w:spacing w:line="276" w:lineRule="auto"/>
        <w:ind w:firstLine="720"/>
        <w:rPr>
          <w:rFonts w:asciiTheme="majorHAnsi" w:hAnsiTheme="majorHAnsi"/>
          <w:sz w:val="24"/>
          <w:szCs w:val="24"/>
        </w:rPr>
      </w:pPr>
      <w:r w:rsidRPr="004C197C">
        <w:rPr>
          <w:rFonts w:asciiTheme="majorHAnsi" w:hAnsiTheme="majorHAnsi"/>
          <w:sz w:val="24"/>
          <w:szCs w:val="24"/>
        </w:rPr>
        <w:t>Advocates of Prohibition did not believe it would be necessary to establish a large administrative apparatus to enforce the law and as a result, the federal government never had more than 2,500 agents enforcing the law.  Congress, anticipating general compliance with the liquor ban, budgeted only $5 million for enforcement originally, but several years later, the government estimated enforcement would cost $300 million.</w:t>
      </w:r>
    </w:p>
    <w:p w:rsidR="00AE2C93" w:rsidRPr="004C197C" w:rsidRDefault="00AE2C93" w:rsidP="00AE2C93">
      <w:pPr>
        <w:pStyle w:val="NoSpacing"/>
        <w:spacing w:line="276" w:lineRule="auto"/>
        <w:ind w:firstLine="720"/>
        <w:rPr>
          <w:rFonts w:asciiTheme="majorHAnsi" w:hAnsiTheme="majorHAnsi"/>
          <w:sz w:val="24"/>
          <w:szCs w:val="24"/>
        </w:rPr>
      </w:pPr>
    </w:p>
    <w:p w:rsidR="00AE2C93" w:rsidRDefault="00AE2C93" w:rsidP="00AE2C93">
      <w:pPr>
        <w:pStyle w:val="NoSpacing"/>
        <w:spacing w:line="276" w:lineRule="auto"/>
        <w:ind w:firstLine="720"/>
        <w:rPr>
          <w:rFonts w:asciiTheme="majorHAnsi" w:hAnsiTheme="majorHAnsi"/>
          <w:sz w:val="24"/>
          <w:szCs w:val="24"/>
        </w:rPr>
      </w:pPr>
      <w:r w:rsidRPr="004C197C">
        <w:rPr>
          <w:rFonts w:asciiTheme="majorHAnsi" w:hAnsiTheme="majorHAnsi"/>
          <w:sz w:val="24"/>
          <w:szCs w:val="24"/>
        </w:rPr>
        <w:t>For those who executed the law, the surest method of enforcement was to shut off the supply of liquor at its source. But consider what this meant. The coastlines and land borders of the United States offered an 18,700-mile invitation to smugglers while thousands of druggists were permitted to sell alcohol on doctors' prescriptions and many more bootleggers were contributing to the flow of alcohol.</w:t>
      </w:r>
      <w:r w:rsidR="00291AD7">
        <w:rPr>
          <w:rStyle w:val="FootnoteReference"/>
          <w:rFonts w:asciiTheme="majorHAnsi" w:hAnsiTheme="majorHAnsi"/>
          <w:sz w:val="24"/>
          <w:szCs w:val="24"/>
        </w:rPr>
        <w:footnoteReference w:id="1"/>
      </w:r>
    </w:p>
    <w:p w:rsidR="00AE2C93" w:rsidRDefault="00AE2C93" w:rsidP="006B4E75">
      <w:pPr>
        <w:pStyle w:val="NormalWeb"/>
      </w:pPr>
    </w:p>
    <w:p w:rsidR="00AE2C93" w:rsidRDefault="00AE2C93" w:rsidP="00AE2C93">
      <w:pPr>
        <w:pStyle w:val="NormalWeb"/>
        <w:jc w:val="center"/>
      </w:pPr>
      <w:r>
        <w:rPr>
          <w:noProof/>
        </w:rPr>
        <w:drawing>
          <wp:inline distT="0" distB="0" distL="0" distR="0">
            <wp:extent cx="3773586" cy="2945219"/>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773890" cy="2945456"/>
                    </a:xfrm>
                    <a:prstGeom prst="rect">
                      <a:avLst/>
                    </a:prstGeom>
                    <a:noFill/>
                    <a:ln w="9525">
                      <a:noFill/>
                      <a:miter lim="800000"/>
                      <a:headEnd/>
                      <a:tailEnd/>
                    </a:ln>
                  </pic:spPr>
                </pic:pic>
              </a:graphicData>
            </a:graphic>
          </wp:inline>
        </w:drawing>
      </w:r>
    </w:p>
    <w:p w:rsidR="00AE2C93" w:rsidRPr="00AE2C93" w:rsidRDefault="00AE2C93" w:rsidP="00AE2C93">
      <w:pPr>
        <w:pStyle w:val="NormalWeb"/>
        <w:jc w:val="center"/>
        <w:rPr>
          <w:sz w:val="20"/>
          <w:szCs w:val="20"/>
        </w:rPr>
      </w:pPr>
      <w:r w:rsidRPr="00AE2C93">
        <w:rPr>
          <w:sz w:val="20"/>
          <w:szCs w:val="20"/>
        </w:rPr>
        <w:t>http://prostandkim.blogspot.com/2007/08/whole-raft-of-prohibition-pictures.html</w:t>
      </w:r>
    </w:p>
    <w:p w:rsidR="00AE2C93" w:rsidRDefault="00AE2C93" w:rsidP="006B4E75">
      <w:pPr>
        <w:pStyle w:val="NormalWeb"/>
      </w:pPr>
    </w:p>
    <w:p w:rsidR="00AE2C93" w:rsidRDefault="00AE2C93" w:rsidP="006B4E75">
      <w:pPr>
        <w:pStyle w:val="NormalWeb"/>
      </w:pPr>
    </w:p>
    <w:p w:rsidR="00AE2C93" w:rsidRPr="008801F9" w:rsidRDefault="004A0822" w:rsidP="00AE2C93">
      <w:pPr>
        <w:pStyle w:val="NormalWeb"/>
        <w:rPr>
          <w:rFonts w:asciiTheme="majorHAnsi" w:eastAsia="Gungsuh" w:hAnsiTheme="majorHAnsi"/>
          <w:sz w:val="20"/>
          <w:szCs w:val="20"/>
        </w:rPr>
      </w:pPr>
      <w:r w:rsidRPr="004A0822">
        <w:rPr>
          <w:rFonts w:asciiTheme="majorHAnsi" w:eastAsia="Gungsuh" w:hAnsiTheme="majorHAnsi"/>
          <w:noProof/>
        </w:rPr>
        <w:pict>
          <v:rect id="_x0000_s1026" style="position:absolute;margin-left:-33.5pt;margin-top:42.7pt;width:542.5pt;height:531.3pt;z-index:251658240" filled="f" fillcolor="white [3201]" strokecolor="black [3200]" strokeweight="5pt">
            <v:stroke linestyle="thickThin"/>
            <v:shadow color="#868686"/>
          </v:rect>
        </w:pict>
      </w:r>
      <w:r w:rsidR="00AE2C93" w:rsidRPr="008801F9">
        <w:rPr>
          <w:rFonts w:asciiTheme="majorHAnsi" w:eastAsia="Gungsuh" w:hAnsiTheme="majorHAnsi"/>
          <w:sz w:val="20"/>
          <w:szCs w:val="20"/>
        </w:rPr>
        <w:t xml:space="preserve">Below is an excerpt about some of the challenges of enforcing Prohibition from the 1931 </w:t>
      </w:r>
      <w:r w:rsidR="00AE2C93" w:rsidRPr="008801F9">
        <w:rPr>
          <w:rStyle w:val="Strong"/>
          <w:rFonts w:asciiTheme="majorHAnsi" w:eastAsia="Gungsuh" w:hAnsiTheme="majorHAnsi"/>
          <w:sz w:val="20"/>
          <w:szCs w:val="20"/>
        </w:rPr>
        <w:t xml:space="preserve">Report on the Enforcement of the Prohibition Laws of the United States. </w:t>
      </w:r>
      <w:r w:rsidR="00AE2C93" w:rsidRPr="008801F9">
        <w:rPr>
          <w:rStyle w:val="Strong"/>
          <w:rFonts w:asciiTheme="majorHAnsi" w:eastAsia="Gungsuh" w:hAnsiTheme="majorHAnsi"/>
          <w:b w:val="0"/>
          <w:sz w:val="20"/>
          <w:szCs w:val="20"/>
        </w:rPr>
        <w:t>This report was c</w:t>
      </w:r>
      <w:r w:rsidR="00AE2C93" w:rsidRPr="008801F9">
        <w:rPr>
          <w:rFonts w:asciiTheme="majorHAnsi" w:eastAsia="Gungsuh" w:hAnsiTheme="majorHAnsi"/>
          <w:sz w:val="20"/>
          <w:szCs w:val="20"/>
        </w:rPr>
        <w:t>onducted by the National Commission on Law Observance and Enforcement.</w:t>
      </w:r>
    </w:p>
    <w:p w:rsidR="00AE2C93" w:rsidRDefault="00AE2C93" w:rsidP="00AE2C93">
      <w:pPr>
        <w:pStyle w:val="NormalWeb"/>
        <w:jc w:val="right"/>
        <w:rPr>
          <w:rFonts w:asciiTheme="majorHAnsi" w:eastAsia="Gungsuh" w:hAnsiTheme="majorHAnsi"/>
        </w:rPr>
      </w:pPr>
    </w:p>
    <w:p w:rsidR="00AE2C93" w:rsidRPr="008801F9" w:rsidRDefault="00AE2C93" w:rsidP="00AE2C93">
      <w:pPr>
        <w:pStyle w:val="NormalWeb"/>
        <w:jc w:val="right"/>
        <w:rPr>
          <w:rFonts w:asciiTheme="majorHAnsi" w:eastAsia="Gungsuh" w:hAnsiTheme="majorHAnsi" w:cs="Arial Unicode MS"/>
        </w:rPr>
      </w:pPr>
      <w:r w:rsidRPr="008801F9">
        <w:rPr>
          <w:rFonts w:asciiTheme="majorHAnsi" w:eastAsia="Gungsuh" w:hAnsiTheme="majorHAnsi"/>
        </w:rPr>
        <w:t>Dated January 7, 1931</w:t>
      </w:r>
    </w:p>
    <w:p w:rsidR="00AE2C93" w:rsidRDefault="00AE2C93" w:rsidP="006B4E75">
      <w:pPr>
        <w:pStyle w:val="NormalWeb"/>
      </w:pPr>
    </w:p>
    <w:p w:rsidR="006B4E75" w:rsidRPr="00AE2C93" w:rsidRDefault="006B4E75" w:rsidP="006B4E75">
      <w:pPr>
        <w:pStyle w:val="NormalWeb"/>
        <w:rPr>
          <w:rFonts w:asciiTheme="majorHAnsi" w:hAnsiTheme="majorHAnsi"/>
          <w:b/>
        </w:rPr>
      </w:pPr>
      <w:r w:rsidRPr="00AE2C93">
        <w:rPr>
          <w:rFonts w:asciiTheme="majorHAnsi" w:hAnsiTheme="majorHAnsi"/>
          <w:b/>
        </w:rPr>
        <w:t>CORRUPTION </w:t>
      </w:r>
    </w:p>
    <w:p w:rsidR="00626B58" w:rsidRPr="00AE2C93" w:rsidRDefault="006B4E75" w:rsidP="006B4E75">
      <w:pPr>
        <w:pStyle w:val="NormalWeb"/>
        <w:rPr>
          <w:rFonts w:asciiTheme="majorHAnsi" w:hAnsiTheme="majorHAnsi"/>
        </w:rPr>
      </w:pPr>
      <w:r w:rsidRPr="00AE2C93">
        <w:rPr>
          <w:rFonts w:asciiTheme="majorHAnsi" w:hAnsiTheme="majorHAnsi"/>
        </w:rPr>
        <w:t>As to corruption</w:t>
      </w:r>
      <w:r w:rsidR="00AE2C93">
        <w:rPr>
          <w:rFonts w:asciiTheme="majorHAnsi" w:hAnsiTheme="majorHAnsi"/>
        </w:rPr>
        <w:t>,</w:t>
      </w:r>
      <w:r w:rsidRPr="00AE2C93">
        <w:rPr>
          <w:rFonts w:asciiTheme="majorHAnsi" w:hAnsiTheme="majorHAnsi"/>
        </w:rPr>
        <w:t xml:space="preserve"> it is sufficient to refer to the reported decisions of the courts during the past decade in all parts of the country, which reveal</w:t>
      </w:r>
      <w:r w:rsidR="00AE2C93">
        <w:rPr>
          <w:rFonts w:asciiTheme="majorHAnsi" w:hAnsiTheme="majorHAnsi"/>
        </w:rPr>
        <w:t>:</w:t>
      </w:r>
    </w:p>
    <w:p w:rsidR="00AE2C93" w:rsidRDefault="00AE2C93" w:rsidP="00AE2C93">
      <w:pPr>
        <w:pStyle w:val="NoSpacing"/>
        <w:numPr>
          <w:ilvl w:val="0"/>
          <w:numId w:val="2"/>
        </w:numPr>
        <w:rPr>
          <w:rFonts w:asciiTheme="majorHAnsi" w:hAnsiTheme="majorHAnsi"/>
          <w:sz w:val="24"/>
          <w:szCs w:val="24"/>
        </w:rPr>
      </w:pPr>
      <w:r w:rsidRPr="00AE2C93">
        <w:rPr>
          <w:rFonts w:asciiTheme="majorHAnsi" w:hAnsiTheme="majorHAnsi"/>
          <w:sz w:val="24"/>
          <w:szCs w:val="24"/>
        </w:rPr>
        <w:t>A</w:t>
      </w:r>
      <w:r w:rsidR="006B4E75" w:rsidRPr="00AE2C93">
        <w:rPr>
          <w:rFonts w:asciiTheme="majorHAnsi" w:hAnsiTheme="majorHAnsi"/>
          <w:sz w:val="24"/>
          <w:szCs w:val="24"/>
        </w:rPr>
        <w:t xml:space="preserve"> succession of prosecutions for conspiracies, sometimes involving the police, prosecuting and administrative orga</w:t>
      </w:r>
      <w:r w:rsidRPr="00AE2C93">
        <w:rPr>
          <w:rFonts w:asciiTheme="majorHAnsi" w:hAnsiTheme="majorHAnsi"/>
          <w:sz w:val="24"/>
          <w:szCs w:val="24"/>
        </w:rPr>
        <w:t>nizations of whole communities</w:t>
      </w:r>
    </w:p>
    <w:p w:rsidR="00AE2C93" w:rsidRPr="00AE2C93" w:rsidRDefault="00AE2C93" w:rsidP="00AE2C93">
      <w:pPr>
        <w:pStyle w:val="NoSpacing"/>
        <w:ind w:left="720"/>
        <w:rPr>
          <w:rFonts w:asciiTheme="majorHAnsi" w:hAnsiTheme="majorHAnsi"/>
          <w:sz w:val="24"/>
          <w:szCs w:val="24"/>
        </w:rPr>
      </w:pPr>
    </w:p>
    <w:p w:rsidR="00626B58" w:rsidRDefault="00AE2C93" w:rsidP="00AE2C93">
      <w:pPr>
        <w:pStyle w:val="NoSpacing"/>
        <w:numPr>
          <w:ilvl w:val="0"/>
          <w:numId w:val="2"/>
        </w:numPr>
        <w:rPr>
          <w:rFonts w:asciiTheme="majorHAnsi" w:hAnsiTheme="majorHAnsi"/>
          <w:sz w:val="24"/>
          <w:szCs w:val="24"/>
        </w:rPr>
      </w:pPr>
      <w:r w:rsidRPr="00AE2C93">
        <w:rPr>
          <w:rFonts w:asciiTheme="majorHAnsi" w:hAnsiTheme="majorHAnsi"/>
          <w:sz w:val="24"/>
          <w:szCs w:val="24"/>
        </w:rPr>
        <w:t>T</w:t>
      </w:r>
      <w:r w:rsidR="006B4E75" w:rsidRPr="00AE2C93">
        <w:rPr>
          <w:rFonts w:asciiTheme="majorHAnsi" w:hAnsiTheme="majorHAnsi"/>
          <w:sz w:val="24"/>
          <w:szCs w:val="24"/>
        </w:rPr>
        <w:t xml:space="preserve">he flagrant corruption disclosed in connection with diversions of industrial alcohol </w:t>
      </w:r>
      <w:r>
        <w:rPr>
          <w:rFonts w:asciiTheme="majorHAnsi" w:hAnsiTheme="majorHAnsi"/>
          <w:sz w:val="24"/>
          <w:szCs w:val="24"/>
        </w:rPr>
        <w:t>and unlawful production of beer</w:t>
      </w:r>
    </w:p>
    <w:p w:rsidR="00AE2C93" w:rsidRPr="00AE2C93" w:rsidRDefault="00AE2C93" w:rsidP="00AE2C93">
      <w:pPr>
        <w:pStyle w:val="NoSpacing"/>
        <w:rPr>
          <w:rFonts w:asciiTheme="majorHAnsi" w:hAnsiTheme="majorHAnsi"/>
          <w:sz w:val="24"/>
          <w:szCs w:val="24"/>
        </w:rPr>
      </w:pPr>
    </w:p>
    <w:p w:rsidR="00626B58" w:rsidRDefault="00AE2C93" w:rsidP="00AE2C93">
      <w:pPr>
        <w:pStyle w:val="NoSpacing"/>
        <w:numPr>
          <w:ilvl w:val="0"/>
          <w:numId w:val="2"/>
        </w:numPr>
        <w:rPr>
          <w:rFonts w:asciiTheme="majorHAnsi" w:hAnsiTheme="majorHAnsi"/>
          <w:sz w:val="24"/>
          <w:szCs w:val="24"/>
        </w:rPr>
      </w:pPr>
      <w:r w:rsidRPr="00AE2C93">
        <w:rPr>
          <w:rFonts w:asciiTheme="majorHAnsi" w:hAnsiTheme="majorHAnsi"/>
          <w:sz w:val="24"/>
          <w:szCs w:val="24"/>
        </w:rPr>
        <w:t>The</w:t>
      </w:r>
      <w:r w:rsidR="006B4E75" w:rsidRPr="00AE2C93">
        <w:rPr>
          <w:rFonts w:asciiTheme="majorHAnsi" w:hAnsiTheme="majorHAnsi"/>
          <w:sz w:val="24"/>
          <w:szCs w:val="24"/>
        </w:rPr>
        <w:t xml:space="preserve"> record of federal prohibition administration as to which cases of corruption have been continuous and corruption has appeared in services which in the past had bee</w:t>
      </w:r>
      <w:r>
        <w:rPr>
          <w:rFonts w:asciiTheme="majorHAnsi" w:hAnsiTheme="majorHAnsi"/>
          <w:sz w:val="24"/>
          <w:szCs w:val="24"/>
        </w:rPr>
        <w:t>n above suspicion</w:t>
      </w:r>
    </w:p>
    <w:p w:rsidR="00AE2C93" w:rsidRPr="00AE2C93" w:rsidRDefault="00AE2C93" w:rsidP="00AE2C93">
      <w:pPr>
        <w:pStyle w:val="NoSpacing"/>
        <w:rPr>
          <w:rFonts w:asciiTheme="majorHAnsi" w:hAnsiTheme="majorHAnsi"/>
          <w:sz w:val="24"/>
          <w:szCs w:val="24"/>
        </w:rPr>
      </w:pPr>
    </w:p>
    <w:p w:rsidR="00626B58" w:rsidRDefault="00AE2C93" w:rsidP="00AE2C93">
      <w:pPr>
        <w:pStyle w:val="NoSpacing"/>
        <w:numPr>
          <w:ilvl w:val="0"/>
          <w:numId w:val="2"/>
        </w:numPr>
        <w:rPr>
          <w:rFonts w:asciiTheme="majorHAnsi" w:hAnsiTheme="majorHAnsi"/>
          <w:sz w:val="24"/>
          <w:szCs w:val="24"/>
        </w:rPr>
      </w:pPr>
      <w:r w:rsidRPr="00AE2C93">
        <w:rPr>
          <w:rFonts w:asciiTheme="majorHAnsi" w:hAnsiTheme="majorHAnsi"/>
          <w:sz w:val="24"/>
          <w:szCs w:val="24"/>
        </w:rPr>
        <w:t>The</w:t>
      </w:r>
      <w:r w:rsidR="006B4E75" w:rsidRPr="00AE2C93">
        <w:rPr>
          <w:rFonts w:asciiTheme="majorHAnsi" w:hAnsiTheme="majorHAnsi"/>
          <w:sz w:val="24"/>
          <w:szCs w:val="24"/>
        </w:rPr>
        <w:t xml:space="preserve"> revelations as to police corruption in every type of municipality, large a</w:t>
      </w:r>
      <w:r>
        <w:rPr>
          <w:rFonts w:asciiTheme="majorHAnsi" w:hAnsiTheme="majorHAnsi"/>
          <w:sz w:val="24"/>
          <w:szCs w:val="24"/>
        </w:rPr>
        <w:t>nd small, throughout the decade</w:t>
      </w:r>
    </w:p>
    <w:p w:rsidR="00AE2C93" w:rsidRPr="00AE2C93" w:rsidRDefault="00AE2C93" w:rsidP="00AE2C93">
      <w:pPr>
        <w:pStyle w:val="NoSpacing"/>
        <w:rPr>
          <w:rFonts w:asciiTheme="majorHAnsi" w:hAnsiTheme="majorHAnsi"/>
          <w:sz w:val="24"/>
          <w:szCs w:val="24"/>
        </w:rPr>
      </w:pPr>
    </w:p>
    <w:p w:rsidR="00626B58" w:rsidRDefault="00AE2C93" w:rsidP="00AE2C93">
      <w:pPr>
        <w:pStyle w:val="NoSpacing"/>
        <w:numPr>
          <w:ilvl w:val="0"/>
          <w:numId w:val="2"/>
        </w:numPr>
        <w:rPr>
          <w:rFonts w:asciiTheme="majorHAnsi" w:hAnsiTheme="majorHAnsi"/>
          <w:sz w:val="24"/>
          <w:szCs w:val="24"/>
        </w:rPr>
      </w:pPr>
      <w:r w:rsidRPr="00AE2C93">
        <w:rPr>
          <w:rFonts w:asciiTheme="majorHAnsi" w:hAnsiTheme="majorHAnsi"/>
          <w:sz w:val="24"/>
          <w:szCs w:val="24"/>
        </w:rPr>
        <w:t>The</w:t>
      </w:r>
      <w:r w:rsidR="006B4E75" w:rsidRPr="00AE2C93">
        <w:rPr>
          <w:rFonts w:asciiTheme="majorHAnsi" w:hAnsiTheme="majorHAnsi"/>
          <w:sz w:val="24"/>
          <w:szCs w:val="24"/>
        </w:rPr>
        <w:t xml:space="preserve"> conditions as to prosecution revealed in surveys of criminal justice i</w:t>
      </w:r>
      <w:r>
        <w:rPr>
          <w:rFonts w:asciiTheme="majorHAnsi" w:hAnsiTheme="majorHAnsi"/>
          <w:sz w:val="24"/>
          <w:szCs w:val="24"/>
        </w:rPr>
        <w:t>n many parts of the land</w:t>
      </w:r>
    </w:p>
    <w:p w:rsidR="00AE2C93" w:rsidRPr="00AE2C93" w:rsidRDefault="00AE2C93" w:rsidP="00AE2C93">
      <w:pPr>
        <w:pStyle w:val="NoSpacing"/>
        <w:rPr>
          <w:rFonts w:asciiTheme="majorHAnsi" w:hAnsiTheme="majorHAnsi"/>
          <w:sz w:val="24"/>
          <w:szCs w:val="24"/>
        </w:rPr>
      </w:pPr>
    </w:p>
    <w:p w:rsidR="00626B58" w:rsidRPr="00AE2C93" w:rsidRDefault="00AE2C93" w:rsidP="00AE2C93">
      <w:pPr>
        <w:pStyle w:val="NoSpacing"/>
        <w:numPr>
          <w:ilvl w:val="0"/>
          <w:numId w:val="2"/>
        </w:numPr>
        <w:rPr>
          <w:rFonts w:asciiTheme="majorHAnsi" w:hAnsiTheme="majorHAnsi"/>
          <w:sz w:val="24"/>
          <w:szCs w:val="24"/>
        </w:rPr>
      </w:pPr>
      <w:r w:rsidRPr="00AE2C93">
        <w:rPr>
          <w:rFonts w:asciiTheme="majorHAnsi" w:hAnsiTheme="majorHAnsi"/>
          <w:sz w:val="24"/>
          <w:szCs w:val="24"/>
        </w:rPr>
        <w:t>T</w:t>
      </w:r>
      <w:r w:rsidR="006B4E75" w:rsidRPr="00AE2C93">
        <w:rPr>
          <w:rFonts w:asciiTheme="majorHAnsi" w:hAnsiTheme="majorHAnsi"/>
          <w:sz w:val="24"/>
          <w:szCs w:val="24"/>
        </w:rPr>
        <w:t xml:space="preserve">he evidence of connection between corrupt local politics and gangs and the organized unlawful liquor traffic, and of systematic collection of tribute from that traffic for corrupt political purposes. </w:t>
      </w:r>
    </w:p>
    <w:p w:rsidR="006B4E75" w:rsidRPr="00AE2C93" w:rsidRDefault="006B4E75" w:rsidP="006B4E75">
      <w:pPr>
        <w:pStyle w:val="NormalWeb"/>
        <w:rPr>
          <w:rFonts w:asciiTheme="majorHAnsi" w:hAnsiTheme="majorHAnsi"/>
        </w:rPr>
      </w:pPr>
      <w:r w:rsidRPr="00AE2C93">
        <w:rPr>
          <w:rFonts w:asciiTheme="majorHAnsi" w:hAnsiTheme="majorHAnsi"/>
        </w:rPr>
        <w:t>There have been other eras of corruption. Indeed, such eras are likely to follow wars. Also there was much corruption in connection with the regulation of the liquor traffic before prohibition. But the present regime of corruption in connection with the liquor traffic is operating in a new and larger field and is more extensive.</w:t>
      </w:r>
    </w:p>
    <w:p w:rsidR="00EF172B" w:rsidRPr="00AE2C93" w:rsidRDefault="00291AD7">
      <w:pPr>
        <w:rPr>
          <w:rFonts w:asciiTheme="majorHAnsi" w:hAnsiTheme="majorHAnsi"/>
        </w:rPr>
      </w:pPr>
      <w:r>
        <w:rPr>
          <w:rFonts w:asciiTheme="majorHAnsi" w:hAnsiTheme="majorHAnsi"/>
          <w:noProof/>
        </w:rPr>
        <w:pict>
          <v:shapetype id="_x0000_t202" coordsize="21600,21600" o:spt="202" path="m,l,21600r21600,l21600,xe">
            <v:stroke joinstyle="miter"/>
            <v:path gradientshapeok="t" o:connecttype="rect"/>
          </v:shapetype>
          <v:shape id="_x0000_s1027" type="#_x0000_t202" style="position:absolute;margin-left:-33.9pt;margin-top:26.85pt;width:542.9pt;height:27.55pt;z-index:251659264;mso-width-relative:margin;mso-height-relative:margin" filled="f" stroked="f">
            <v:textbox style="mso-next-textbox:#_x0000_s1027">
              <w:txbxContent>
                <w:p w:rsidR="00291AD7" w:rsidRPr="00ED6EC5" w:rsidRDefault="00291AD7" w:rsidP="00291AD7">
                  <w:pPr>
                    <w:pStyle w:val="Bibliography"/>
                    <w:rPr>
                      <w:noProof/>
                      <w:sz w:val="16"/>
                      <w:szCs w:val="16"/>
                    </w:rPr>
                  </w:pPr>
                  <w:r w:rsidRPr="00ED6EC5">
                    <w:rPr>
                      <w:sz w:val="16"/>
                      <w:szCs w:val="16"/>
                    </w:rPr>
                    <w:fldChar w:fldCharType="begin"/>
                  </w:r>
                  <w:r w:rsidRPr="00ED6EC5">
                    <w:rPr>
                      <w:sz w:val="16"/>
                      <w:szCs w:val="16"/>
                    </w:rPr>
                    <w:instrText xml:space="preserve"> BIBLIOGRAPHY  \l 1033 </w:instrText>
                  </w:r>
                  <w:r w:rsidRPr="00ED6EC5">
                    <w:rPr>
                      <w:sz w:val="16"/>
                      <w:szCs w:val="16"/>
                    </w:rPr>
                    <w:fldChar w:fldCharType="separate"/>
                  </w:r>
                  <w:r w:rsidRPr="00ED6EC5">
                    <w:rPr>
                      <w:noProof/>
                      <w:sz w:val="16"/>
                      <w:szCs w:val="16"/>
                      <w:u w:val="single"/>
                    </w:rPr>
                    <w:t>Taken From:</w:t>
                  </w:r>
                  <w:r>
                    <w:rPr>
                      <w:noProof/>
                      <w:sz w:val="16"/>
                      <w:szCs w:val="16"/>
                      <w:u w:val="single"/>
                    </w:rPr>
                    <w:t xml:space="preserve"> </w:t>
                  </w:r>
                  <w:r w:rsidRPr="00ED6EC5">
                    <w:rPr>
                      <w:noProof/>
                      <w:sz w:val="16"/>
                      <w:szCs w:val="16"/>
                    </w:rPr>
                    <w:t xml:space="preserve">Enforcement, N. C. (1931, January 7). </w:t>
                  </w:r>
                  <w:r w:rsidRPr="00ED6EC5">
                    <w:rPr>
                      <w:i/>
                      <w:iCs/>
                      <w:noProof/>
                      <w:sz w:val="16"/>
                      <w:szCs w:val="16"/>
                    </w:rPr>
                    <w:t>Report on the Enforcement of the Prohibtion Laws of the United States.</w:t>
                  </w:r>
                  <w:r w:rsidRPr="00ED6EC5">
                    <w:rPr>
                      <w:noProof/>
                      <w:sz w:val="16"/>
                      <w:szCs w:val="16"/>
                    </w:rPr>
                    <w:t xml:space="preserve"> Retrieved August 12, 2010, from Schaffer Library of Drug Policy: http://www.druglibrary.org/schaffer/Library/studies/wick/index.html</w:t>
                  </w:r>
                </w:p>
                <w:p w:rsidR="00291AD7" w:rsidRPr="00ED6EC5" w:rsidRDefault="00291AD7" w:rsidP="00291AD7">
                  <w:pPr>
                    <w:rPr>
                      <w:sz w:val="16"/>
                      <w:szCs w:val="16"/>
                    </w:rPr>
                  </w:pPr>
                  <w:r w:rsidRPr="00ED6EC5">
                    <w:rPr>
                      <w:sz w:val="16"/>
                      <w:szCs w:val="16"/>
                    </w:rPr>
                    <w:fldChar w:fldCharType="end"/>
                  </w:r>
                </w:p>
              </w:txbxContent>
            </v:textbox>
          </v:shape>
        </w:pict>
      </w:r>
    </w:p>
    <w:sectPr w:rsidR="00EF172B" w:rsidRPr="00AE2C93" w:rsidSect="00EF172B">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7284" w:rsidRDefault="00617284" w:rsidP="00291AD7">
      <w:pPr>
        <w:spacing w:after="0"/>
      </w:pPr>
      <w:r>
        <w:separator/>
      </w:r>
    </w:p>
  </w:endnote>
  <w:endnote w:type="continuationSeparator" w:id="0">
    <w:p w:rsidR="00617284" w:rsidRDefault="00617284" w:rsidP="00291AD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Gungsuh">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7284" w:rsidRDefault="00617284" w:rsidP="00291AD7">
      <w:pPr>
        <w:spacing w:after="0"/>
      </w:pPr>
      <w:r>
        <w:separator/>
      </w:r>
    </w:p>
  </w:footnote>
  <w:footnote w:type="continuationSeparator" w:id="0">
    <w:p w:rsidR="00617284" w:rsidRDefault="00617284" w:rsidP="00291AD7">
      <w:pPr>
        <w:spacing w:after="0"/>
      </w:pPr>
      <w:r>
        <w:continuationSeparator/>
      </w:r>
    </w:p>
  </w:footnote>
  <w:footnote w:id="1">
    <w:p w:rsidR="00291AD7" w:rsidRPr="00291AD7" w:rsidRDefault="00291AD7" w:rsidP="00291AD7">
      <w:pPr>
        <w:pStyle w:val="FootnoteText"/>
        <w:rPr>
          <w:sz w:val="16"/>
          <w:szCs w:val="16"/>
        </w:rPr>
      </w:pPr>
      <w:r>
        <w:rPr>
          <w:rStyle w:val="FootnoteReference"/>
        </w:rPr>
        <w:footnoteRef/>
      </w:r>
      <w:r>
        <w:t xml:space="preserve">  </w:t>
      </w:r>
      <w:r w:rsidRPr="00291AD7">
        <w:rPr>
          <w:sz w:val="16"/>
          <w:szCs w:val="16"/>
          <w:u w:val="single"/>
        </w:rPr>
        <w:t>Adapted from:</w:t>
      </w:r>
      <w:r w:rsidRPr="00291AD7">
        <w:rPr>
          <w:sz w:val="16"/>
          <w:szCs w:val="16"/>
        </w:rPr>
        <w:t xml:space="preserve"> </w:t>
      </w:r>
    </w:p>
    <w:p w:rsidR="00291AD7" w:rsidRPr="00291AD7" w:rsidRDefault="00291AD7" w:rsidP="00291AD7">
      <w:pPr>
        <w:pStyle w:val="Bibliography"/>
        <w:rPr>
          <w:noProof/>
          <w:sz w:val="16"/>
          <w:szCs w:val="16"/>
        </w:rPr>
      </w:pPr>
      <w:r w:rsidRPr="00291AD7">
        <w:rPr>
          <w:sz w:val="16"/>
          <w:szCs w:val="16"/>
        </w:rPr>
        <w:fldChar w:fldCharType="begin"/>
      </w:r>
      <w:r w:rsidRPr="00291AD7">
        <w:rPr>
          <w:sz w:val="16"/>
          <w:szCs w:val="16"/>
        </w:rPr>
        <w:instrText xml:space="preserve"> BIBLIOGRAPHY  \l 1033 </w:instrText>
      </w:r>
      <w:r w:rsidRPr="00291AD7">
        <w:rPr>
          <w:sz w:val="16"/>
          <w:szCs w:val="16"/>
        </w:rPr>
        <w:fldChar w:fldCharType="separate"/>
      </w:r>
      <w:r w:rsidRPr="00291AD7">
        <w:rPr>
          <w:noProof/>
          <w:sz w:val="16"/>
          <w:szCs w:val="16"/>
        </w:rPr>
        <w:t xml:space="preserve">Allen, F. L. (n.d.). </w:t>
      </w:r>
      <w:r w:rsidRPr="00291AD7">
        <w:rPr>
          <w:i/>
          <w:iCs/>
          <w:noProof/>
          <w:sz w:val="16"/>
          <w:szCs w:val="16"/>
        </w:rPr>
        <w:t>Only Yesterday: An Informal History of the 1920s</w:t>
      </w:r>
      <w:r w:rsidRPr="00291AD7">
        <w:rPr>
          <w:noProof/>
          <w:sz w:val="16"/>
          <w:szCs w:val="16"/>
        </w:rPr>
        <w:t>. Retrieved August 12, 2010, from http://xroads.virginia.edu/~Hyper/Allen/Cover.html</w:t>
      </w:r>
    </w:p>
    <w:p w:rsidR="00291AD7" w:rsidRPr="00291AD7" w:rsidRDefault="00291AD7" w:rsidP="00291AD7">
      <w:pPr>
        <w:pStyle w:val="Bibliography"/>
        <w:rPr>
          <w:noProof/>
          <w:sz w:val="16"/>
          <w:szCs w:val="16"/>
        </w:rPr>
      </w:pPr>
      <w:r w:rsidRPr="00291AD7">
        <w:rPr>
          <w:i/>
          <w:iCs/>
          <w:noProof/>
          <w:sz w:val="16"/>
          <w:szCs w:val="16"/>
        </w:rPr>
        <w:t xml:space="preserve">Digital History: Prohibition </w:t>
      </w:r>
      <w:r w:rsidRPr="00291AD7">
        <w:rPr>
          <w:noProof/>
          <w:sz w:val="16"/>
          <w:szCs w:val="16"/>
        </w:rPr>
        <w:t>. (n.d.). Retrieved August 12, 2010, from http://www.digitalhistory.uh.edu/database/article_display.cfm?HHID=441</w:t>
      </w:r>
    </w:p>
    <w:p w:rsidR="00291AD7" w:rsidRDefault="00291AD7" w:rsidP="00291AD7">
      <w:pPr>
        <w:pStyle w:val="FootnoteText"/>
      </w:pPr>
      <w:r w:rsidRPr="00291AD7">
        <w:rPr>
          <w:noProof/>
          <w:sz w:val="16"/>
          <w:szCs w:val="16"/>
        </w:rPr>
        <w:t xml:space="preserve">Kyvig, D. E. (2000). </w:t>
      </w:r>
      <w:r w:rsidRPr="00291AD7">
        <w:rPr>
          <w:i/>
          <w:iCs/>
          <w:noProof/>
          <w:sz w:val="16"/>
          <w:szCs w:val="16"/>
        </w:rPr>
        <w:t>Repealing National Prohibition.</w:t>
      </w:r>
      <w:r w:rsidRPr="00291AD7">
        <w:rPr>
          <w:noProof/>
          <w:sz w:val="16"/>
          <w:szCs w:val="16"/>
        </w:rPr>
        <w:t xml:space="preserve"> Kent: The Kent State University Press.</w:t>
      </w:r>
      <w:r w:rsidRPr="00291AD7">
        <w:rPr>
          <w:sz w:val="16"/>
          <w:szCs w:val="16"/>
        </w:rPr>
        <w:fldChar w:fldCharType="end"/>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D3E61"/>
    <w:multiLevelType w:val="hybridMultilevel"/>
    <w:tmpl w:val="03B243D6"/>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1">
    <w:nsid w:val="60986855"/>
    <w:multiLevelType w:val="hybridMultilevel"/>
    <w:tmpl w:val="A25E7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rsids>
    <w:rsidRoot w:val="006B4E75"/>
    <w:rsid w:val="00291AD7"/>
    <w:rsid w:val="004A0822"/>
    <w:rsid w:val="00584464"/>
    <w:rsid w:val="00617284"/>
    <w:rsid w:val="00626B58"/>
    <w:rsid w:val="006B4E75"/>
    <w:rsid w:val="00A44DA1"/>
    <w:rsid w:val="00AE2C93"/>
    <w:rsid w:val="00EF17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17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B4E75"/>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A44DA1"/>
    <w:rPr>
      <w:b/>
      <w:bCs/>
    </w:rPr>
  </w:style>
  <w:style w:type="paragraph" w:styleId="NoSpacing">
    <w:name w:val="No Spacing"/>
    <w:uiPriority w:val="1"/>
    <w:qFormat/>
    <w:rsid w:val="00AE2C93"/>
    <w:pPr>
      <w:spacing w:after="0"/>
    </w:pPr>
  </w:style>
  <w:style w:type="paragraph" w:styleId="BalloonText">
    <w:name w:val="Balloon Text"/>
    <w:basedOn w:val="Normal"/>
    <w:link w:val="BalloonTextChar"/>
    <w:uiPriority w:val="99"/>
    <w:semiHidden/>
    <w:unhideWhenUsed/>
    <w:rsid w:val="00AE2C9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2C93"/>
    <w:rPr>
      <w:rFonts w:ascii="Tahoma" w:hAnsi="Tahoma" w:cs="Tahoma"/>
      <w:sz w:val="16"/>
      <w:szCs w:val="16"/>
    </w:rPr>
  </w:style>
  <w:style w:type="paragraph" w:styleId="ListParagraph">
    <w:name w:val="List Paragraph"/>
    <w:basedOn w:val="Normal"/>
    <w:uiPriority w:val="34"/>
    <w:qFormat/>
    <w:rsid w:val="00AE2C93"/>
    <w:pPr>
      <w:ind w:left="720"/>
      <w:contextualSpacing/>
    </w:pPr>
  </w:style>
  <w:style w:type="paragraph" w:styleId="FootnoteText">
    <w:name w:val="footnote text"/>
    <w:basedOn w:val="Normal"/>
    <w:link w:val="FootnoteTextChar"/>
    <w:uiPriority w:val="99"/>
    <w:semiHidden/>
    <w:unhideWhenUsed/>
    <w:rsid w:val="00291AD7"/>
    <w:pPr>
      <w:spacing w:after="0"/>
    </w:pPr>
    <w:rPr>
      <w:sz w:val="20"/>
      <w:szCs w:val="20"/>
    </w:rPr>
  </w:style>
  <w:style w:type="character" w:customStyle="1" w:styleId="FootnoteTextChar">
    <w:name w:val="Footnote Text Char"/>
    <w:basedOn w:val="DefaultParagraphFont"/>
    <w:link w:val="FootnoteText"/>
    <w:uiPriority w:val="99"/>
    <w:semiHidden/>
    <w:rsid w:val="00291AD7"/>
    <w:rPr>
      <w:sz w:val="20"/>
      <w:szCs w:val="20"/>
    </w:rPr>
  </w:style>
  <w:style w:type="character" w:styleId="FootnoteReference">
    <w:name w:val="footnote reference"/>
    <w:basedOn w:val="DefaultParagraphFont"/>
    <w:uiPriority w:val="99"/>
    <w:semiHidden/>
    <w:unhideWhenUsed/>
    <w:rsid w:val="00291AD7"/>
    <w:rPr>
      <w:vertAlign w:val="superscript"/>
    </w:rPr>
  </w:style>
  <w:style w:type="paragraph" w:styleId="Bibliography">
    <w:name w:val="Bibliography"/>
    <w:basedOn w:val="Normal"/>
    <w:next w:val="Normal"/>
    <w:uiPriority w:val="37"/>
    <w:unhideWhenUsed/>
    <w:rsid w:val="00291AD7"/>
  </w:style>
</w:styles>
</file>

<file path=word/webSettings.xml><?xml version="1.0" encoding="utf-8"?>
<w:webSettings xmlns:r="http://schemas.openxmlformats.org/officeDocument/2006/relationships" xmlns:w="http://schemas.openxmlformats.org/wordprocessingml/2006/main">
  <w:divs>
    <w:div w:id="653069770">
      <w:bodyDiv w:val="1"/>
      <w:marLeft w:val="0"/>
      <w:marRight w:val="0"/>
      <w:marTop w:val="0"/>
      <w:marBottom w:val="0"/>
      <w:divBdr>
        <w:top w:val="none" w:sz="0" w:space="0" w:color="auto"/>
        <w:left w:val="none" w:sz="0" w:space="0" w:color="auto"/>
        <w:bottom w:val="none" w:sz="0" w:space="0" w:color="auto"/>
        <w:right w:val="none" w:sz="0" w:space="0" w:color="auto"/>
      </w:divBdr>
    </w:div>
    <w:div w:id="1546797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Dav001</b:Tag>
    <b:SourceType>Book</b:SourceType>
    <b:Guid>{A4000CE3-7A1F-4FFA-81C5-8BD9B8F3BEDD}</b:Guid>
    <b:LCID>0</b:LCID>
    <b:Author>
      <b:Author>
        <b:NameList>
          <b:Person>
            <b:Last>Kyvig</b:Last>
            <b:First>David</b:First>
            <b:Middle>E.</b:Middle>
          </b:Person>
        </b:NameList>
      </b:Author>
    </b:Author>
    <b:Title>Repealing National Prohibition</b:Title>
    <b:Year>2000</b:Year>
    <b:City>Kent</b:City>
    <b:Publisher>The Kent State University Press</b:Publisher>
    <b:RefOrder>2</b:RefOrder>
  </b:Source>
  <b:Source>
    <b:Tag>Fre10</b:Tag>
    <b:SourceType>InternetSite</b:SourceType>
    <b:Guid>{9549E5DD-A8F9-4B3A-930E-007BB5CF9CDA}</b:Guid>
    <b:LCID>0</b:LCID>
    <b:Author>
      <b:Author>
        <b:NameList>
          <b:Person>
            <b:Last>Allen</b:Last>
            <b:First>Frederick</b:First>
            <b:Middle>Lewis</b:Middle>
          </b:Person>
        </b:NameList>
      </b:Author>
    </b:Author>
    <b:Title>Only Yesterday: An Informal History of the 1920s</b:Title>
    <b:YearAccessed>2010</b:YearAccessed>
    <b:MonthAccessed>August</b:MonthAccessed>
    <b:DayAccessed>12</b:DayAccessed>
    <b:URL>http://xroads.virginia.edu/~Hyper/Allen/Cover.html</b:URL>
    <b:RefOrder>3</b:RefOrder>
  </b:Source>
  <b:Source>
    <b:Tag>Dig10</b:Tag>
    <b:SourceType>InternetSite</b:SourceType>
    <b:Guid>{6170F0A4-3012-4836-8414-22A0FCE2C50C}</b:Guid>
    <b:LCID>0</b:LCID>
    <b:Title>Digital History: Prohibition </b:Title>
    <b:YearAccessed>2010</b:YearAccessed>
    <b:MonthAccessed>August</b:MonthAccessed>
    <b:DayAccessed>12</b:DayAccessed>
    <b:URL>http://www.digitalhistory.uh.edu/database/article_display.cfm?HHID=441</b:URL>
    <b:RefOrder>4</b:RefOrder>
  </b:Source>
  <b:Source>
    <b:Tag>Nat31</b:Tag>
    <b:SourceType>DocumentFromInternetSite</b:SourceType>
    <b:Guid>{A643AD97-30F2-4506-9305-229C0CF93820}</b:Guid>
    <b:LCID>0</b:LCID>
    <b:Author>
      <b:Author>
        <b:NameList>
          <b:Person>
            <b:Last>Enforcement</b:Last>
            <b:First>National</b:First>
            <b:Middle>Commission on Law Observance and</b:Middle>
          </b:Person>
        </b:NameList>
      </b:Author>
    </b:Author>
    <b:Title>Report on the Enforcement of the Prohibtion Laws of the United States</b:Title>
    <b:InternetSiteTitle>Schaffer Library of Drug Policy</b:InternetSiteTitle>
    <b:Year>1931</b:Year>
    <b:Month>January</b:Month>
    <b:Day>7</b:Day>
    <b:YearAccessed>2010</b:YearAccessed>
    <b:MonthAccessed>August</b:MonthAccessed>
    <b:DayAccessed>12</b:DayAccessed>
    <b:URL>http://www.druglibrary.org/schaffer/Library/studies/wick/index.html</b:URL>
    <b:RefOrder>1</b:RefOrder>
  </b:Source>
</b:Sources>
</file>

<file path=customXml/itemProps1.xml><?xml version="1.0" encoding="utf-8"?>
<ds:datastoreItem xmlns:ds="http://schemas.openxmlformats.org/officeDocument/2006/customXml" ds:itemID="{4EEDF279-A307-42DA-BBDB-A6027F795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385</Words>
  <Characters>2195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Allie</dc:creator>
  <cp:lastModifiedBy>Allie</cp:lastModifiedBy>
  <cp:revision>3</cp:revision>
  <dcterms:created xsi:type="dcterms:W3CDTF">2010-08-13T05:36:00Z</dcterms:created>
  <dcterms:modified xsi:type="dcterms:W3CDTF">2010-08-13T07:44:00Z</dcterms:modified>
</cp:coreProperties>
</file>